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4136694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:rsidR="00980C7B" w:rsidRDefault="00980C7B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E36C0A" w:themeColor="accent6" w:themeShade="BF"/>
              <w:bottom w:val="single" w:sz="36" w:space="0" w:color="E36C0A" w:themeColor="accent6" w:themeShade="BF"/>
              <w:insideH w:val="single" w:sz="36" w:space="0" w:color="E36C0A" w:themeColor="accent6" w:themeShade="BF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02"/>
          </w:tblGrid>
          <w:tr w:rsidR="00980C7B" w:rsidTr="00980C7B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80C7B" w:rsidRDefault="00147D89" w:rsidP="00980C7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lang w:val="en-GB"/>
                      </w:rPr>
                      <w:t>Cyrus Eradicate</w:t>
                    </w:r>
                  </w:p>
                </w:tc>
              </w:sdtContent>
            </w:sdt>
          </w:tr>
          <w:tr w:rsidR="00980C7B" w:rsidTr="00980C7B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80C7B" w:rsidRDefault="00147D89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Product Analysis Report</w:t>
                    </w:r>
                  </w:p>
                </w:tc>
              </w:sdtContent>
            </w:sdt>
          </w:tr>
          <w:tr w:rsidR="00980C7B" w:rsidTr="00980C7B">
            <w:sdt>
              <w:sdtPr>
                <w:rPr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980C7B" w:rsidRDefault="00147D89" w:rsidP="00980C7B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>Dr Eve Bird</w:t>
                    </w:r>
                  </w:p>
                </w:tc>
              </w:sdtContent>
            </w:sdt>
          </w:tr>
        </w:tbl>
        <w:p w:rsidR="00980C7B" w:rsidRDefault="00980C7B"/>
        <w:p w:rsidR="00980C7B" w:rsidRDefault="00980C7B">
          <w:pPr>
            <w:rPr>
              <w:b/>
              <w:u w:val="single"/>
            </w:rPr>
          </w:pPr>
          <w:r>
            <w:rPr>
              <w:b/>
              <w:u w:val="single"/>
            </w:rPr>
            <w:br w:type="page"/>
          </w:r>
        </w:p>
      </w:sdtContent>
    </w:sdt>
    <w:p w:rsidR="002F7245" w:rsidRDefault="00283599" w:rsidP="00494293">
      <w:pPr>
        <w:spacing w:after="100"/>
        <w:jc w:val="both"/>
        <w:rPr>
          <w:b/>
          <w:u w:val="single"/>
        </w:rPr>
      </w:pPr>
      <w:r w:rsidRPr="00283599">
        <w:rPr>
          <w:b/>
          <w:u w:val="single"/>
        </w:rPr>
        <w:lastRenderedPageBreak/>
        <w:t>Cyrus Eradicate Product Analysis Report</w:t>
      </w:r>
    </w:p>
    <w:p w:rsidR="00980C7B" w:rsidRDefault="00980C7B" w:rsidP="00494293">
      <w:pPr>
        <w:spacing w:after="100"/>
        <w:jc w:val="both"/>
        <w:rPr>
          <w:b/>
        </w:rPr>
      </w:pPr>
    </w:p>
    <w:p w:rsidR="00283599" w:rsidRDefault="00283599" w:rsidP="00494293">
      <w:pPr>
        <w:spacing w:after="100"/>
        <w:jc w:val="both"/>
        <w:rPr>
          <w:b/>
        </w:rPr>
      </w:pPr>
      <w:r>
        <w:rPr>
          <w:b/>
        </w:rPr>
        <w:t xml:space="preserve">Overview of Project </w:t>
      </w:r>
    </w:p>
    <w:p w:rsidR="006A76EC" w:rsidRPr="006A76EC" w:rsidRDefault="009879CC" w:rsidP="006A76EC">
      <w:pPr>
        <w:spacing w:after="100"/>
        <w:jc w:val="both"/>
      </w:pPr>
      <w:r>
        <w:t>Cyrus Energy Ltd. market a number of fuel additives, one of which is the</w:t>
      </w:r>
      <w:r w:rsidR="00A41B19">
        <w:t xml:space="preserve"> diesel</w:t>
      </w:r>
      <w:r>
        <w:t xml:space="preserve"> biocide Cyrus Eradicate.  </w:t>
      </w:r>
      <w:r w:rsidR="00A41B19" w:rsidRPr="00450C5B">
        <w:t>Microbial contamination of d</w:t>
      </w:r>
      <w:r w:rsidRPr="00450C5B">
        <w:t>iesel</w:t>
      </w:r>
      <w:r w:rsidR="006A76EC" w:rsidRPr="00450C5B">
        <w:t xml:space="preserve"> storage tanks and pipework</w:t>
      </w:r>
      <w:r w:rsidRPr="00450C5B">
        <w:t xml:space="preserve"> </w:t>
      </w:r>
      <w:r w:rsidR="00A41B19" w:rsidRPr="00450C5B">
        <w:t>is a widespread and potentially costly</w:t>
      </w:r>
      <w:r w:rsidR="00450C5B">
        <w:t xml:space="preserve"> issue, prevention (and intervention) of infection can be achieved by routine use of a fuel biocide.</w:t>
      </w:r>
    </w:p>
    <w:p w:rsidR="00911A05" w:rsidRDefault="00421B66" w:rsidP="00421B66">
      <w:pPr>
        <w:spacing w:after="100"/>
        <w:jc w:val="both"/>
      </w:pPr>
      <w:r>
        <w:rPr>
          <w:i/>
        </w:rPr>
        <w:t xml:space="preserve">Pseudomonas aeruginosa </w:t>
      </w:r>
      <w:r>
        <w:t xml:space="preserve">ATCC </w:t>
      </w:r>
      <w:r w:rsidR="00B45008">
        <w:t>33988</w:t>
      </w:r>
      <w:r>
        <w:t xml:space="preserve">, originally isolated from a </w:t>
      </w:r>
      <w:r w:rsidR="00B45008">
        <w:t>fuel storage tank (Ponca City</w:t>
      </w:r>
      <w:r>
        <w:t>,</w:t>
      </w:r>
      <w:r w:rsidR="00B45008">
        <w:t xml:space="preserve"> Oklahoma)</w:t>
      </w:r>
      <w:r>
        <w:t xml:space="preserve"> was chosen to test the efficacy of Cyrus Eradicate</w:t>
      </w:r>
      <w:r w:rsidR="00911A05">
        <w:t>,</w:t>
      </w:r>
      <w:r>
        <w:t xml:space="preserve"> as </w:t>
      </w:r>
      <w:r w:rsidR="00911A05">
        <w:rPr>
          <w:i/>
        </w:rPr>
        <w:t>P. aeruginosa</w:t>
      </w:r>
      <w:r>
        <w:t xml:space="preserve"> is</w:t>
      </w:r>
      <w:r w:rsidR="00B45008">
        <w:t xml:space="preserve"> one of</w:t>
      </w:r>
      <w:r>
        <w:t xml:space="preserve"> the microorganism</w:t>
      </w:r>
      <w:r w:rsidR="00B45008">
        <w:t>s</w:t>
      </w:r>
      <w:r>
        <w:t xml:space="preserve"> most often i</w:t>
      </w:r>
      <w:r w:rsidR="00B45008">
        <w:t>mplicated in founding the multi-</w:t>
      </w:r>
      <w:r>
        <w:t xml:space="preserve">species biofilms associated with </w:t>
      </w:r>
      <w:r w:rsidR="00B45008">
        <w:t xml:space="preserve">severe </w:t>
      </w:r>
      <w:r>
        <w:t>diesel contamination (</w:t>
      </w:r>
      <w:r w:rsidR="00B45008">
        <w:t xml:space="preserve">Rossmoore, </w:t>
      </w:r>
      <w:r w:rsidR="00B45008">
        <w:rPr>
          <w:i/>
        </w:rPr>
        <w:t>et al.,</w:t>
      </w:r>
      <w:r w:rsidR="00B45008">
        <w:t xml:space="preserve"> 198</w:t>
      </w:r>
      <w:r w:rsidR="008E6521">
        <w:t>8</w:t>
      </w:r>
      <w:r>
        <w:t>).</w:t>
      </w:r>
      <w:r w:rsidR="003A78CC">
        <w:t xml:space="preserve">  </w:t>
      </w:r>
      <w:r w:rsidR="00A66546">
        <w:t>The</w:t>
      </w:r>
      <w:r w:rsidR="00A41B19">
        <w:t xml:space="preserve"> normal pattern of fuel tank colonisation begins with a founder </w:t>
      </w:r>
      <w:r w:rsidR="00A66546">
        <w:t>species</w:t>
      </w:r>
      <w:r w:rsidR="00A41B19">
        <w:t xml:space="preserve"> such as </w:t>
      </w:r>
      <w:r w:rsidR="00A41B19">
        <w:rPr>
          <w:i/>
        </w:rPr>
        <w:t>P. aeruginosa</w:t>
      </w:r>
      <w:r w:rsidR="00A66546">
        <w:rPr>
          <w:i/>
        </w:rPr>
        <w:t xml:space="preserve">, </w:t>
      </w:r>
      <w:r w:rsidR="00A66546">
        <w:t>an aerobic bacteria, that alters the pH and oxygen level of the microenvironment to</w:t>
      </w:r>
      <w:r w:rsidR="00911A05">
        <w:t xml:space="preserve"> such an extent that </w:t>
      </w:r>
      <w:r w:rsidR="00A66546">
        <w:t>other species (such as anaerobic sulphate reducing bacteria or pH sensitive fungi) may flourish.</w:t>
      </w:r>
      <w:r w:rsidR="00316E4C">
        <w:t xml:space="preserve">  Additionally </w:t>
      </w:r>
      <w:r w:rsidR="00316E4C">
        <w:rPr>
          <w:i/>
        </w:rPr>
        <w:t xml:space="preserve">P. aeruginosa </w:t>
      </w:r>
      <w:r w:rsidR="00316E4C">
        <w:t>ATCC 33988 is utilis</w:t>
      </w:r>
      <w:r w:rsidR="005C372F">
        <w:t>ed by the</w:t>
      </w:r>
      <w:r w:rsidR="008C6AB1">
        <w:t xml:space="preserve"> US Department of Defence as the organism of choice for biocide challenge testing (Interim Report </w:t>
      </w:r>
      <w:r w:rsidR="008C6AB1" w:rsidRPr="008C6AB1">
        <w:t>MIL-S-53021</w:t>
      </w:r>
      <w:r w:rsidR="008C6AB1">
        <w:t>, 1993).</w:t>
      </w:r>
    </w:p>
    <w:p w:rsidR="008C6AB1" w:rsidRPr="003A78CC" w:rsidRDefault="008C6AB1" w:rsidP="00421B66">
      <w:pPr>
        <w:spacing w:after="100"/>
        <w:jc w:val="both"/>
      </w:pPr>
    </w:p>
    <w:p w:rsidR="00421B66" w:rsidRDefault="00421B66" w:rsidP="00494293">
      <w:pPr>
        <w:spacing w:after="100"/>
        <w:jc w:val="both"/>
      </w:pPr>
      <w:r>
        <w:t>Cyrus Energy Ltd. were aware that Cyrus Eradicate worked but did not have the test data to confirm:</w:t>
      </w:r>
    </w:p>
    <w:p w:rsidR="00421B66" w:rsidRDefault="00421B66" w:rsidP="00421B66">
      <w:pPr>
        <w:pStyle w:val="ListParagraph"/>
        <w:numPr>
          <w:ilvl w:val="0"/>
          <w:numId w:val="7"/>
        </w:numPr>
        <w:spacing w:after="100"/>
        <w:jc w:val="both"/>
      </w:pPr>
      <w:r>
        <w:t xml:space="preserve">The concentration of </w:t>
      </w:r>
      <w:r w:rsidR="003A78CC">
        <w:t xml:space="preserve">Cyrus Eradicate </w:t>
      </w:r>
      <w:r>
        <w:t xml:space="preserve">required to exterminate </w:t>
      </w:r>
      <w:r w:rsidR="003A78CC">
        <w:rPr>
          <w:i/>
        </w:rPr>
        <w:t>P. aeruginosa</w:t>
      </w:r>
      <w:r w:rsidR="003A78CC">
        <w:t xml:space="preserve"> </w:t>
      </w:r>
      <w:r>
        <w:t>contamination</w:t>
      </w:r>
      <w:r w:rsidR="003A78CC">
        <w:t xml:space="preserve"> in diesel.</w:t>
      </w:r>
    </w:p>
    <w:p w:rsidR="003A78CC" w:rsidRDefault="003A78CC" w:rsidP="003A78CC">
      <w:pPr>
        <w:pStyle w:val="ListParagraph"/>
        <w:numPr>
          <w:ilvl w:val="0"/>
          <w:numId w:val="7"/>
        </w:numPr>
        <w:spacing w:after="100"/>
        <w:jc w:val="both"/>
      </w:pPr>
      <w:r>
        <w:t xml:space="preserve">The time Cyrus Eradicate takes to reduce / eliminate viable </w:t>
      </w:r>
      <w:r>
        <w:rPr>
          <w:i/>
        </w:rPr>
        <w:t xml:space="preserve">P. aeruginosa </w:t>
      </w:r>
      <w:r>
        <w:t>in diesel.</w:t>
      </w:r>
    </w:p>
    <w:p w:rsidR="00911A05" w:rsidRDefault="00911A05" w:rsidP="00911A05">
      <w:pPr>
        <w:pStyle w:val="ListParagraph"/>
        <w:spacing w:after="100"/>
        <w:jc w:val="both"/>
      </w:pPr>
    </w:p>
    <w:p w:rsidR="00421B66" w:rsidRPr="00421B66" w:rsidRDefault="00421B66" w:rsidP="00421B66">
      <w:pPr>
        <w:spacing w:after="100"/>
        <w:jc w:val="both"/>
      </w:pPr>
      <w:r w:rsidRPr="00421B66">
        <w:t>Obtaining this information would enable product validation, consumer confidence in the product and product development.</w:t>
      </w:r>
    </w:p>
    <w:p w:rsidR="00980C7B" w:rsidRDefault="00980C7B" w:rsidP="00494293">
      <w:pPr>
        <w:spacing w:after="100"/>
        <w:jc w:val="both"/>
      </w:pPr>
    </w:p>
    <w:p w:rsidR="00494293" w:rsidRPr="00494293" w:rsidRDefault="00494293" w:rsidP="00494293">
      <w:pPr>
        <w:spacing w:after="100"/>
        <w:jc w:val="both"/>
        <w:rPr>
          <w:b/>
        </w:rPr>
      </w:pPr>
      <w:r w:rsidRPr="00494293">
        <w:rPr>
          <w:b/>
        </w:rPr>
        <w:t>Assessment of the background microflora in diesel</w:t>
      </w:r>
    </w:p>
    <w:p w:rsidR="00494293" w:rsidRDefault="00494293" w:rsidP="00494293">
      <w:pPr>
        <w:spacing w:after="100"/>
        <w:jc w:val="both"/>
      </w:pPr>
      <w:r>
        <w:t>Preceding biocide efficacy testing</w:t>
      </w:r>
      <w:r w:rsidR="002B2DC3">
        <w:t>,</w:t>
      </w:r>
      <w:r>
        <w:t xml:space="preserve"> an assessment of the background microflora present in the</w:t>
      </w:r>
      <w:r w:rsidR="003A78CC">
        <w:t xml:space="preserve"> un-sterile</w:t>
      </w:r>
      <w:r>
        <w:t xml:space="preserve"> </w:t>
      </w:r>
      <w:r w:rsidR="002B2DC3">
        <w:t>diesel sample was conducted</w:t>
      </w:r>
      <w:r w:rsidR="003A78CC">
        <w:t>.  This assessment was done to ascertain the degree of background microflora and w</w:t>
      </w:r>
      <w:r w:rsidR="007C5FDC">
        <w:t>h</w:t>
      </w:r>
      <w:r w:rsidR="003A78CC">
        <w:t>ether a sterilisation pre</w:t>
      </w:r>
      <w:r w:rsidR="007C5FDC">
        <w:t>t</w:t>
      </w:r>
      <w:r w:rsidR="003A78CC">
        <w:t>reatment was required to ensure consistent results</w:t>
      </w:r>
      <w:r w:rsidR="002B2DC3">
        <w:t>.</w:t>
      </w:r>
    </w:p>
    <w:p w:rsidR="002B2DC3" w:rsidRDefault="002B2DC3" w:rsidP="002B2DC3">
      <w:pPr>
        <w:spacing w:after="100"/>
        <w:jc w:val="both"/>
      </w:pPr>
      <w:r>
        <w:t>A selection of agar plates: Nutrient agar (NA), Malt extract agar (MEA),</w:t>
      </w:r>
      <w:r w:rsidRPr="002B2DC3">
        <w:t xml:space="preserve"> </w:t>
      </w:r>
      <w:r>
        <w:t>Clostridial agar (CA) and</w:t>
      </w:r>
      <w:r w:rsidRPr="002B2DC3">
        <w:t xml:space="preserve"> </w:t>
      </w:r>
      <w:r>
        <w:t>Pseudomonas agar (PA) were prepared according to the manufacturer’s (Oxoid, Hampshire, UK) instructions, and sterilised by autoclave at 121°C for 15 minutes.</w:t>
      </w:r>
    </w:p>
    <w:p w:rsidR="00494293" w:rsidRDefault="002F7245" w:rsidP="00494293">
      <w:pPr>
        <w:spacing w:after="100"/>
        <w:jc w:val="both"/>
      </w:pPr>
      <w:r>
        <w:t xml:space="preserve">Neat diesel (200 μl) was spread onto five of each variety of agar plate (NA, MEA, CA &amp; PA).  The sets of </w:t>
      </w:r>
      <w:r w:rsidR="00494293">
        <w:t xml:space="preserve">plates were then incubated under </w:t>
      </w:r>
      <w:r>
        <w:t xml:space="preserve">five </w:t>
      </w:r>
      <w:r w:rsidR="00494293">
        <w:t>different conditions and checked periodic</w:t>
      </w:r>
      <w:r>
        <w:t>ally over 14</w:t>
      </w:r>
      <w:r w:rsidR="00494293">
        <w:t xml:space="preserve"> days to observe if any microbial growth was present.  The conditions the plates were incubated under were</w:t>
      </w:r>
      <w:r w:rsidR="002B2DC3">
        <w:t>:</w:t>
      </w:r>
      <w:r w:rsidR="00494293">
        <w:t xml:space="preserve"> aerobically at 17°C, ambient</w:t>
      </w:r>
      <w:r w:rsidR="002B2DC3">
        <w:t xml:space="preserve"> room temperature</w:t>
      </w:r>
      <w:r w:rsidR="00494293">
        <w:t xml:space="preserve">, 37°C and 50°C and anaerobically at 30°C.  </w:t>
      </w:r>
    </w:p>
    <w:p w:rsidR="00494293" w:rsidRDefault="00494293" w:rsidP="00494293">
      <w:pPr>
        <w:spacing w:after="100"/>
        <w:jc w:val="both"/>
      </w:pPr>
    </w:p>
    <w:p w:rsidR="00911A05" w:rsidRDefault="00911A05">
      <w:pPr>
        <w:rPr>
          <w:b/>
        </w:rPr>
      </w:pPr>
      <w:r>
        <w:rPr>
          <w:b/>
        </w:rPr>
        <w:br w:type="page"/>
      </w:r>
    </w:p>
    <w:p w:rsidR="002F7245" w:rsidRPr="00AD6B92" w:rsidRDefault="00AD6B92" w:rsidP="00494293">
      <w:pPr>
        <w:spacing w:after="100"/>
        <w:jc w:val="both"/>
        <w:rPr>
          <w:b/>
        </w:rPr>
      </w:pPr>
      <w:r w:rsidRPr="00AD6B92">
        <w:rPr>
          <w:b/>
        </w:rPr>
        <w:lastRenderedPageBreak/>
        <w:t xml:space="preserve">Table 1: </w:t>
      </w:r>
      <w:r w:rsidR="002F7245" w:rsidRPr="00AD6B92">
        <w:rPr>
          <w:b/>
        </w:rPr>
        <w:t xml:space="preserve"> </w:t>
      </w:r>
      <w:r w:rsidRPr="00AD6B92">
        <w:rPr>
          <w:b/>
        </w:rPr>
        <w:t>Assessment of the bac</w:t>
      </w:r>
      <w:r>
        <w:rPr>
          <w:b/>
        </w:rPr>
        <w:t>kground microflora in diesel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"/>
        <w:gridCol w:w="2034"/>
        <w:gridCol w:w="2034"/>
        <w:gridCol w:w="2033"/>
        <w:gridCol w:w="2035"/>
      </w:tblGrid>
      <w:tr w:rsidR="00AD6B92" w:rsidTr="00AD6B92">
        <w:tc>
          <w:tcPr>
            <w:tcW w:w="598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MEA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CA</w:t>
            </w:r>
          </w:p>
        </w:tc>
        <w:tc>
          <w:tcPr>
            <w:tcW w:w="1101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PA</w:t>
            </w:r>
          </w:p>
        </w:tc>
      </w:tr>
      <w:tr w:rsidR="00AD6B92" w:rsidTr="00AD6B92">
        <w:tc>
          <w:tcPr>
            <w:tcW w:w="598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aerobic</w:t>
            </w:r>
          </w:p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17°C</w:t>
            </w:r>
          </w:p>
        </w:tc>
        <w:tc>
          <w:tcPr>
            <w:tcW w:w="1100" w:type="pct"/>
          </w:tcPr>
          <w:p w:rsidR="00AD6B92" w:rsidRPr="00AD6B92" w:rsidRDefault="00AD6B92" w:rsidP="00AD6B92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1 white fungi (green / brown underside), filiform margin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1 large white fungi (black in the centre), dark underside, filiform margin</w:t>
            </w:r>
          </w:p>
        </w:tc>
        <w:tc>
          <w:tcPr>
            <w:tcW w:w="1100" w:type="pct"/>
          </w:tcPr>
          <w:p w:rsidR="00AD6B92" w:rsidRPr="00AD6B92" w:rsidRDefault="00AD6B92" w:rsidP="00BF6190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1" w:type="pct"/>
          </w:tcPr>
          <w:p w:rsidR="00AD6B92" w:rsidRPr="00AD6B92" w:rsidRDefault="00AD6B92" w:rsidP="00BF6190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</w:tr>
      <w:tr w:rsidR="00AD6B92" w:rsidTr="00AD6B92">
        <w:tc>
          <w:tcPr>
            <w:tcW w:w="598" w:type="pct"/>
          </w:tcPr>
          <w:p w:rsidR="00AD6B92" w:rsidRPr="00AD6B92" w:rsidRDefault="00AD6B92" w:rsidP="00AD6B92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aerobic</w:t>
            </w:r>
          </w:p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Room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3 small white circular colonies, raised elevation, entire margin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 xml:space="preserve">1 large white fungi (green / brown underside), filiform margin </w:t>
            </w:r>
          </w:p>
        </w:tc>
        <w:tc>
          <w:tcPr>
            <w:tcW w:w="1100" w:type="pct"/>
          </w:tcPr>
          <w:p w:rsidR="00AD6B92" w:rsidRPr="00AD6B92" w:rsidRDefault="00AD6B92" w:rsidP="00BF6190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1" w:type="pct"/>
          </w:tcPr>
          <w:p w:rsidR="00AD6B92" w:rsidRPr="00AD6B92" w:rsidRDefault="00AD6B92" w:rsidP="00AD6B92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 xml:space="preserve">1 small white / pink small circular colony, raised elevation, entire margin </w:t>
            </w:r>
          </w:p>
        </w:tc>
      </w:tr>
      <w:tr w:rsidR="00AD6B92" w:rsidTr="00AD6B92">
        <w:tc>
          <w:tcPr>
            <w:tcW w:w="598" w:type="pct"/>
          </w:tcPr>
          <w:p w:rsidR="00AD6B92" w:rsidRPr="00AD6B92" w:rsidRDefault="00AD6B92" w:rsidP="00AD6B92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aerobic</w:t>
            </w:r>
          </w:p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37°C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2 small white circular colonies, raised elevation, entire margin</w:t>
            </w:r>
          </w:p>
        </w:tc>
        <w:tc>
          <w:tcPr>
            <w:tcW w:w="1100" w:type="pct"/>
          </w:tcPr>
          <w:p w:rsidR="00AD6B92" w:rsidRPr="00AD6B92" w:rsidRDefault="00AD6B92" w:rsidP="00BF6190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0" w:type="pct"/>
          </w:tcPr>
          <w:p w:rsidR="00AD6B92" w:rsidRPr="00AD6B92" w:rsidRDefault="00AD6B92" w:rsidP="00BF6190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1" w:type="pct"/>
          </w:tcPr>
          <w:p w:rsidR="00AD6B92" w:rsidRPr="00AD6B92" w:rsidRDefault="00AD6B92" w:rsidP="00AD6B92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 xml:space="preserve">4 small white / pink small circular colonies, raised elevation, entire margin </w:t>
            </w:r>
          </w:p>
        </w:tc>
      </w:tr>
      <w:tr w:rsidR="00AD6B92" w:rsidTr="00AD6B92">
        <w:tc>
          <w:tcPr>
            <w:tcW w:w="598" w:type="pct"/>
          </w:tcPr>
          <w:p w:rsidR="00AD6B92" w:rsidRPr="00AD6B92" w:rsidRDefault="00AD6B92" w:rsidP="00AD6B92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aerobic</w:t>
            </w:r>
          </w:p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50°C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1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</w:tr>
      <w:tr w:rsidR="00AD6B92" w:rsidTr="00AD6B92">
        <w:tc>
          <w:tcPr>
            <w:tcW w:w="598" w:type="pct"/>
          </w:tcPr>
          <w:p w:rsidR="00AD6B92" w:rsidRPr="00AD6B92" w:rsidRDefault="00AD6B92" w:rsidP="00494293">
            <w:pPr>
              <w:spacing w:after="100"/>
              <w:jc w:val="both"/>
              <w:rPr>
                <w:b/>
                <w:sz w:val="16"/>
                <w:szCs w:val="16"/>
              </w:rPr>
            </w:pPr>
            <w:r w:rsidRPr="00AD6B92">
              <w:rPr>
                <w:b/>
                <w:sz w:val="16"/>
                <w:szCs w:val="16"/>
              </w:rPr>
              <w:t>anaerobic 30°C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0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  <w:tc>
          <w:tcPr>
            <w:tcW w:w="1101" w:type="pct"/>
          </w:tcPr>
          <w:p w:rsidR="00AD6B92" w:rsidRPr="00AD6B92" w:rsidRDefault="00AD6B92" w:rsidP="00494293">
            <w:pPr>
              <w:spacing w:after="100"/>
              <w:jc w:val="both"/>
              <w:rPr>
                <w:sz w:val="16"/>
                <w:szCs w:val="16"/>
              </w:rPr>
            </w:pPr>
            <w:r w:rsidRPr="00AD6B92">
              <w:rPr>
                <w:sz w:val="16"/>
                <w:szCs w:val="16"/>
              </w:rPr>
              <w:t>No visible growth</w:t>
            </w:r>
          </w:p>
        </w:tc>
      </w:tr>
    </w:tbl>
    <w:p w:rsidR="00494293" w:rsidRDefault="00494293" w:rsidP="00494293">
      <w:pPr>
        <w:spacing w:after="100"/>
        <w:jc w:val="both"/>
      </w:pPr>
    </w:p>
    <w:p w:rsidR="00494293" w:rsidRDefault="00494293" w:rsidP="00494293">
      <w:pPr>
        <w:spacing w:after="100"/>
        <w:jc w:val="both"/>
      </w:pPr>
      <w:r>
        <w:t>Conclusion:</w:t>
      </w:r>
    </w:p>
    <w:p w:rsidR="000C784C" w:rsidRDefault="00494293" w:rsidP="00494293">
      <w:pPr>
        <w:spacing w:after="100"/>
        <w:jc w:val="both"/>
      </w:pPr>
      <w:r>
        <w:t>Due to the negligible background microbial contamination of the diesel sample, it was decided that the diesel did not require any pre-treatment to remove background organisms, as the minimal microflora present would not significantly interfere with the biocide efficacy testing.</w:t>
      </w:r>
      <w:r w:rsidR="000C784C">
        <w:t xml:space="preserve">  All glassware </w:t>
      </w:r>
      <w:r w:rsidR="007C5FDC">
        <w:t>w</w:t>
      </w:r>
      <w:r w:rsidR="000C784C">
        <w:t>ill</w:t>
      </w:r>
      <w:r w:rsidR="007C5FDC">
        <w:t xml:space="preserve"> be sterilised prior to </w:t>
      </w:r>
      <w:r w:rsidR="000C784C">
        <w:t xml:space="preserve">addition of diesel to ensure any contamination is </w:t>
      </w:r>
      <w:r w:rsidR="004C7A13">
        <w:t>introduced to the test via the diesel can or diesel</w:t>
      </w:r>
      <w:r w:rsidR="000C784C">
        <w:t>.</w:t>
      </w:r>
    </w:p>
    <w:p w:rsidR="00F609FD" w:rsidRDefault="00F609FD" w:rsidP="00494293">
      <w:pPr>
        <w:spacing w:after="100"/>
        <w:jc w:val="both"/>
      </w:pPr>
    </w:p>
    <w:p w:rsidR="00980C7B" w:rsidRPr="00980C7B" w:rsidRDefault="00980C7B" w:rsidP="00980C7B">
      <w:pPr>
        <w:spacing w:after="0"/>
        <w:rPr>
          <w:b/>
          <w:i/>
        </w:rPr>
      </w:pPr>
      <w:r w:rsidRPr="00980C7B">
        <w:rPr>
          <w:b/>
        </w:rPr>
        <w:t xml:space="preserve">Determination of the efficacy of </w:t>
      </w:r>
      <w:r w:rsidR="00725D9B">
        <w:rPr>
          <w:b/>
        </w:rPr>
        <w:t>Cyrus Eradicate</w:t>
      </w:r>
      <w:r w:rsidRPr="00980C7B">
        <w:rPr>
          <w:b/>
        </w:rPr>
        <w:t xml:space="preserve"> against </w:t>
      </w:r>
      <w:r w:rsidRPr="00980C7B">
        <w:rPr>
          <w:b/>
          <w:i/>
        </w:rPr>
        <w:t xml:space="preserve">Pseudomonas aeruginosa </w:t>
      </w:r>
    </w:p>
    <w:p w:rsidR="00B72D8B" w:rsidRPr="00911A05" w:rsidRDefault="00B72D8B" w:rsidP="00B1291B">
      <w:pPr>
        <w:spacing w:after="0"/>
        <w:jc w:val="both"/>
      </w:pPr>
      <w:r w:rsidRPr="00B72D8B">
        <w:t xml:space="preserve">The recommended </w:t>
      </w:r>
      <w:r w:rsidR="00FD509B">
        <w:t>dosage of</w:t>
      </w:r>
      <w:r w:rsidRPr="00B72D8B">
        <w:t xml:space="preserve"> </w:t>
      </w:r>
      <w:r>
        <w:t>Cyrus Eradicate is</w:t>
      </w:r>
      <w:r w:rsidR="00911A05">
        <w:t xml:space="preserve"> 1:2000.  An overnight culture of </w:t>
      </w:r>
      <w:r w:rsidR="00911A05">
        <w:rPr>
          <w:i/>
        </w:rPr>
        <w:t xml:space="preserve">P. aeruginosa </w:t>
      </w:r>
      <w:r w:rsidR="00911A05">
        <w:t xml:space="preserve">was prepared and washed as described below and used to inoculate (low, 100 </w:t>
      </w:r>
      <w:r w:rsidR="00911A05">
        <w:rPr>
          <w:rFonts w:cstheme="minorHAnsi"/>
        </w:rPr>
        <w:t>μ</w:t>
      </w:r>
      <w:r w:rsidR="00911A05">
        <w:t>l</w:t>
      </w:r>
      <w:r w:rsidR="00D10E10">
        <w:t xml:space="preserve">; high 400 </w:t>
      </w:r>
      <w:r w:rsidR="00D10E10">
        <w:rPr>
          <w:rFonts w:cstheme="minorHAnsi"/>
        </w:rPr>
        <w:t>μ</w:t>
      </w:r>
      <w:r w:rsidR="00D10E10">
        <w:t>l)</w:t>
      </w:r>
      <w:r w:rsidR="00911A05">
        <w:t xml:space="preserve"> eight test bottles of diesel (100 ml). </w:t>
      </w:r>
    </w:p>
    <w:p w:rsidR="00F43E2B" w:rsidRPr="00980C7B" w:rsidRDefault="00F43E2B" w:rsidP="00980C7B">
      <w:pPr>
        <w:spacing w:after="0"/>
        <w:rPr>
          <w:b/>
        </w:rPr>
      </w:pPr>
    </w:p>
    <w:p w:rsidR="00980C7B" w:rsidRPr="00980C7B" w:rsidRDefault="00980C7B" w:rsidP="00980C7B">
      <w:pPr>
        <w:spacing w:after="0"/>
        <w:rPr>
          <w:b/>
          <w:u w:val="single"/>
        </w:rPr>
      </w:pPr>
      <w:r w:rsidRPr="00980C7B">
        <w:rPr>
          <w:b/>
        </w:rPr>
        <w:t xml:space="preserve">Materials 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 xml:space="preserve">Glass bottles (250 ml with PTFE-lined screw caps) 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Magnetic stirrers *1 for each bottle*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Nutrient agar (NA) plates *8 per test bottle/per sample point*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 xml:space="preserve">Nutrient broth (NB) 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Buffer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Microcentrifuge tubes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Beaker (250 ml)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Measuring cylinder (250 ml)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Vortex mixer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>Magnetic stirrer plate</w:t>
      </w:r>
    </w:p>
    <w:p w:rsidR="00980C7B" w:rsidRPr="00980C7B" w:rsidRDefault="00980C7B" w:rsidP="00980C7B">
      <w:pPr>
        <w:numPr>
          <w:ilvl w:val="0"/>
          <w:numId w:val="3"/>
        </w:numPr>
        <w:spacing w:after="0"/>
      </w:pPr>
      <w:r w:rsidRPr="00980C7B">
        <w:t xml:space="preserve">Plate counter </w:t>
      </w:r>
    </w:p>
    <w:p w:rsidR="00980C7B" w:rsidRPr="00980C7B" w:rsidRDefault="00980C7B" w:rsidP="00980C7B">
      <w:pPr>
        <w:spacing w:after="0"/>
        <w:rPr>
          <w:b/>
        </w:rPr>
      </w:pPr>
    </w:p>
    <w:p w:rsidR="00980C7B" w:rsidRPr="00980C7B" w:rsidRDefault="00980C7B" w:rsidP="00980C7B">
      <w:pPr>
        <w:spacing w:after="0"/>
        <w:rPr>
          <w:b/>
        </w:rPr>
      </w:pPr>
      <w:r w:rsidRPr="00980C7B">
        <w:rPr>
          <w:b/>
        </w:rPr>
        <w:t>Method</w:t>
      </w:r>
    </w:p>
    <w:p w:rsidR="00980C7B" w:rsidRPr="00980C7B" w:rsidRDefault="00980C7B" w:rsidP="00980C7B">
      <w:pPr>
        <w:numPr>
          <w:ilvl w:val="0"/>
          <w:numId w:val="1"/>
        </w:numPr>
        <w:spacing w:after="0"/>
      </w:pPr>
      <w:r w:rsidRPr="00980C7B">
        <w:t>Prepare media and materials.</w:t>
      </w:r>
    </w:p>
    <w:p w:rsidR="00980C7B" w:rsidRPr="00980C7B" w:rsidRDefault="00980C7B" w:rsidP="00980C7B">
      <w:pPr>
        <w:numPr>
          <w:ilvl w:val="0"/>
          <w:numId w:val="2"/>
        </w:numPr>
        <w:spacing w:after="0"/>
      </w:pPr>
      <w:r w:rsidRPr="00980C7B">
        <w:t>Make up buffer, NB and NA plates.</w:t>
      </w:r>
    </w:p>
    <w:p w:rsidR="00980C7B" w:rsidRPr="00980C7B" w:rsidRDefault="00980C7B" w:rsidP="00980C7B">
      <w:pPr>
        <w:numPr>
          <w:ilvl w:val="0"/>
          <w:numId w:val="2"/>
        </w:numPr>
        <w:spacing w:after="0"/>
      </w:pPr>
      <w:r w:rsidRPr="00980C7B">
        <w:t>Sterilise beaker, buffer, microcentrifuge tubes, measuring cylinder, glass bottles (containing magnetic stirrer).</w:t>
      </w:r>
    </w:p>
    <w:p w:rsidR="00980C7B" w:rsidRPr="00980C7B" w:rsidRDefault="00980C7B" w:rsidP="00980C7B">
      <w:pPr>
        <w:numPr>
          <w:ilvl w:val="0"/>
          <w:numId w:val="2"/>
        </w:numPr>
        <w:spacing w:after="0"/>
      </w:pPr>
      <w:r w:rsidRPr="00980C7B">
        <w:lastRenderedPageBreak/>
        <w:t>Aseptically aliquot 900 µl of buffer into individual centrifuge tubes (for dilution series).</w:t>
      </w:r>
    </w:p>
    <w:p w:rsidR="00980C7B" w:rsidRPr="00980C7B" w:rsidRDefault="00AD6B92" w:rsidP="00725D9B">
      <w:pPr>
        <w:numPr>
          <w:ilvl w:val="0"/>
          <w:numId w:val="2"/>
        </w:numPr>
        <w:spacing w:after="40"/>
        <w:ind w:left="1077" w:hanging="357"/>
      </w:pPr>
      <w:r>
        <w:t xml:space="preserve">Aseptically add 100 ml of diesel </w:t>
      </w:r>
      <w:r w:rsidR="00980C7B" w:rsidRPr="00980C7B">
        <w:t>to sterile glass bottles.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left="714" w:hanging="357"/>
      </w:pPr>
      <w:r w:rsidRPr="00980C7B">
        <w:t>Revive culture and grow on NA plates.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left="714" w:hanging="357"/>
      </w:pPr>
      <w:r w:rsidRPr="00980C7B">
        <w:t>Subcultur</w:t>
      </w:r>
      <w:r w:rsidR="00F97125">
        <w:t>e isolated colony on a NA plate.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left="714" w:hanging="357"/>
      </w:pPr>
      <w:r w:rsidRPr="00980C7B">
        <w:t xml:space="preserve"> Subculture into NB </w:t>
      </w:r>
      <w:r w:rsidRPr="00980C7B">
        <w:sym w:font="Wingdings" w:char="F0E0"/>
      </w:r>
      <w:r w:rsidRPr="00980C7B">
        <w:t xml:space="preserve"> incubate overnight.</w:t>
      </w:r>
    </w:p>
    <w:p w:rsidR="00980C7B" w:rsidRPr="00980C7B" w:rsidRDefault="00980C7B" w:rsidP="00980C7B">
      <w:pPr>
        <w:numPr>
          <w:ilvl w:val="0"/>
          <w:numId w:val="1"/>
        </w:numPr>
        <w:spacing w:after="0"/>
      </w:pPr>
      <w:r w:rsidRPr="00980C7B">
        <w:t>Wash cells.</w:t>
      </w:r>
    </w:p>
    <w:p w:rsidR="00980C7B" w:rsidRPr="00980C7B" w:rsidRDefault="00980C7B" w:rsidP="00980C7B">
      <w:pPr>
        <w:numPr>
          <w:ilvl w:val="0"/>
          <w:numId w:val="4"/>
        </w:numPr>
        <w:spacing w:after="0"/>
      </w:pPr>
      <w:r w:rsidRPr="00980C7B">
        <w:t>Aliquot 4</w:t>
      </w:r>
      <w:r w:rsidR="00FD509B">
        <w:t>5</w:t>
      </w:r>
      <w:r w:rsidRPr="00980C7B">
        <w:t xml:space="preserve"> ml of overnight culture into sterile centrifuge tubes.</w:t>
      </w:r>
    </w:p>
    <w:p w:rsidR="00980C7B" w:rsidRPr="00980C7B" w:rsidRDefault="00980C7B" w:rsidP="00980C7B">
      <w:pPr>
        <w:numPr>
          <w:ilvl w:val="0"/>
          <w:numId w:val="4"/>
        </w:numPr>
        <w:spacing w:after="0"/>
      </w:pPr>
      <w:r w:rsidRPr="00980C7B">
        <w:t>Centrifuge at 12,000 rpm for 10 minutes.</w:t>
      </w:r>
    </w:p>
    <w:p w:rsidR="00980C7B" w:rsidRPr="00980C7B" w:rsidRDefault="00980C7B" w:rsidP="00980C7B">
      <w:pPr>
        <w:numPr>
          <w:ilvl w:val="0"/>
          <w:numId w:val="4"/>
        </w:numPr>
        <w:spacing w:after="0"/>
      </w:pPr>
      <w:r w:rsidRPr="00980C7B">
        <w:t>Discard supernatant.</w:t>
      </w:r>
    </w:p>
    <w:p w:rsidR="00980C7B" w:rsidRPr="00980C7B" w:rsidRDefault="00980C7B" w:rsidP="00725D9B">
      <w:pPr>
        <w:numPr>
          <w:ilvl w:val="0"/>
          <w:numId w:val="4"/>
        </w:numPr>
        <w:spacing w:after="40"/>
        <w:ind w:left="1077" w:hanging="357"/>
      </w:pPr>
      <w:r w:rsidRPr="00980C7B">
        <w:t xml:space="preserve">Add </w:t>
      </w:r>
      <w:r w:rsidR="00FD509B">
        <w:t>5 ml</w:t>
      </w:r>
      <w:r w:rsidRPr="00980C7B">
        <w:t xml:space="preserve"> of sterile buffer. </w:t>
      </w:r>
    </w:p>
    <w:p w:rsidR="00980C7B" w:rsidRPr="00980C7B" w:rsidRDefault="00F97125" w:rsidP="00980C7B">
      <w:pPr>
        <w:numPr>
          <w:ilvl w:val="0"/>
          <w:numId w:val="1"/>
        </w:numPr>
        <w:spacing w:after="0"/>
      </w:pPr>
      <w:r>
        <w:t xml:space="preserve"> Inoculate washed cells into </w:t>
      </w:r>
      <w:r w:rsidR="00980C7B" w:rsidRPr="00980C7B">
        <w:t>diesel</w:t>
      </w:r>
      <w:r w:rsidR="00FD509B">
        <w:t xml:space="preserve"> (low = 100 </w:t>
      </w:r>
      <w:r w:rsidR="00FD509B">
        <w:rPr>
          <w:rFonts w:cstheme="minorHAnsi"/>
        </w:rPr>
        <w:t>μ</w:t>
      </w:r>
      <w:r w:rsidR="00FD509B">
        <w:t xml:space="preserve">l / high = 400 </w:t>
      </w:r>
      <w:r w:rsidR="00FD509B">
        <w:rPr>
          <w:rFonts w:cstheme="minorHAnsi"/>
        </w:rPr>
        <w:t>μ</w:t>
      </w:r>
      <w:r w:rsidR="00FD509B">
        <w:t>l)</w:t>
      </w:r>
      <w:r w:rsidR="00980C7B" w:rsidRPr="00980C7B">
        <w:t xml:space="preserve">. </w:t>
      </w:r>
    </w:p>
    <w:p w:rsidR="00980C7B" w:rsidRPr="00980C7B" w:rsidRDefault="00980C7B" w:rsidP="00F97125">
      <w:pPr>
        <w:spacing w:after="0"/>
        <w:ind w:firstLine="720"/>
      </w:pPr>
      <w:r w:rsidRPr="00980C7B">
        <w:sym w:font="Wingdings" w:char="F0E0"/>
      </w:r>
      <w:r w:rsidRPr="00980C7B">
        <w:t xml:space="preserve"> Take plate count (Day 1, pre-biocide).  </w:t>
      </w:r>
    </w:p>
    <w:p w:rsidR="00980C7B" w:rsidRPr="00980C7B" w:rsidRDefault="00980C7B" w:rsidP="00980C7B">
      <w:pPr>
        <w:numPr>
          <w:ilvl w:val="0"/>
          <w:numId w:val="5"/>
        </w:numPr>
        <w:spacing w:after="0"/>
      </w:pPr>
      <w:r w:rsidRPr="00980C7B">
        <w:t>Shake bottle vigorously for 5 seconds, place on magnetic stirrer plate.</w:t>
      </w:r>
    </w:p>
    <w:p w:rsidR="00980C7B" w:rsidRPr="00980C7B" w:rsidRDefault="00980C7B" w:rsidP="00980C7B">
      <w:pPr>
        <w:numPr>
          <w:ilvl w:val="0"/>
          <w:numId w:val="5"/>
        </w:numPr>
        <w:spacing w:after="0"/>
      </w:pPr>
      <w:r w:rsidRPr="00980C7B">
        <w:t xml:space="preserve">Remove a 100 µl sample and pipette into 900 µl of buffer </w:t>
      </w:r>
      <w:r w:rsidRPr="00980C7B">
        <w:sym w:font="Wingdings" w:char="F0E0"/>
      </w:r>
      <w:r w:rsidRPr="00980C7B">
        <w:t xml:space="preserve"> vortex.</w:t>
      </w:r>
    </w:p>
    <w:p w:rsidR="00980C7B" w:rsidRPr="00980C7B" w:rsidRDefault="00980C7B" w:rsidP="00725D9B">
      <w:pPr>
        <w:numPr>
          <w:ilvl w:val="0"/>
          <w:numId w:val="5"/>
        </w:numPr>
        <w:spacing w:after="40"/>
        <w:ind w:hanging="357"/>
      </w:pPr>
      <w:r w:rsidRPr="00980C7B">
        <w:t xml:space="preserve">Perform dilution series </w:t>
      </w:r>
      <w:r w:rsidRPr="00980C7B">
        <w:sym w:font="Wingdings" w:char="F0E0"/>
      </w:r>
      <w:r w:rsidRPr="00980C7B">
        <w:t xml:space="preserve"> plate out relevant dilutions onto NA plates.</w:t>
      </w:r>
    </w:p>
    <w:p w:rsidR="00F97125" w:rsidRDefault="00980C7B" w:rsidP="00725D9B">
      <w:pPr>
        <w:numPr>
          <w:ilvl w:val="0"/>
          <w:numId w:val="1"/>
        </w:numPr>
        <w:spacing w:after="40"/>
        <w:ind w:hanging="357"/>
      </w:pPr>
      <w:r w:rsidRPr="00980C7B">
        <w:t xml:space="preserve">Add biocide to relevant bottles. 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hanging="357"/>
      </w:pPr>
      <w:r w:rsidRPr="00980C7B">
        <w:t xml:space="preserve">Take plate count (Day </w:t>
      </w:r>
      <w:r w:rsidR="00725D9B">
        <w:t>2</w:t>
      </w:r>
      <w:r w:rsidRPr="00980C7B">
        <w:t>, post-biocide).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hanging="357"/>
      </w:pPr>
      <w:r w:rsidRPr="00980C7B">
        <w:t xml:space="preserve">Day </w:t>
      </w:r>
      <w:r w:rsidR="00725D9B">
        <w:t>3</w:t>
      </w:r>
      <w:r w:rsidRPr="00980C7B">
        <w:t xml:space="preserve"> plate count.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hanging="357"/>
      </w:pPr>
      <w:r w:rsidRPr="00980C7B">
        <w:t>Day 7 plate count.</w:t>
      </w:r>
    </w:p>
    <w:p w:rsidR="00980C7B" w:rsidRPr="00980C7B" w:rsidRDefault="00980C7B" w:rsidP="00725D9B">
      <w:pPr>
        <w:numPr>
          <w:ilvl w:val="0"/>
          <w:numId w:val="1"/>
        </w:numPr>
        <w:spacing w:after="40"/>
        <w:ind w:hanging="357"/>
      </w:pPr>
      <w:r w:rsidRPr="00980C7B">
        <w:t xml:space="preserve"> Record results and determine the CFU/ml.</w:t>
      </w:r>
    </w:p>
    <w:p w:rsidR="00F97125" w:rsidRDefault="00F97125" w:rsidP="00494293">
      <w:pPr>
        <w:spacing w:after="100"/>
        <w:jc w:val="both"/>
        <w:rPr>
          <w:b/>
        </w:rPr>
      </w:pPr>
    </w:p>
    <w:p w:rsidR="00F609FD" w:rsidRDefault="00725D9B" w:rsidP="00494293">
      <w:pPr>
        <w:spacing w:after="100"/>
        <w:jc w:val="both"/>
        <w:rPr>
          <w:b/>
        </w:rPr>
      </w:pPr>
      <w:r>
        <w:rPr>
          <w:b/>
        </w:rPr>
        <w:t>Results</w:t>
      </w:r>
    </w:p>
    <w:p w:rsidR="00DF7DE6" w:rsidRPr="00F43E2B" w:rsidRDefault="00DF7DE6" w:rsidP="00494293">
      <w:pPr>
        <w:spacing w:after="100"/>
        <w:jc w:val="both"/>
        <w:rPr>
          <w:b/>
        </w:rPr>
      </w:pPr>
      <w:r>
        <w:rPr>
          <w:b/>
        </w:rPr>
        <w:t xml:space="preserve">Table </w:t>
      </w:r>
      <w:r w:rsidR="00FD509B">
        <w:rPr>
          <w:b/>
        </w:rPr>
        <w:t>2</w:t>
      </w:r>
      <w:r>
        <w:rPr>
          <w:b/>
        </w:rPr>
        <w:t xml:space="preserve">: </w:t>
      </w:r>
      <w:r w:rsidR="00F43E2B">
        <w:rPr>
          <w:b/>
        </w:rPr>
        <w:t xml:space="preserve">The efficacy of Cyrus Eradicate </w:t>
      </w:r>
      <w:r w:rsidR="00FD509B">
        <w:rPr>
          <w:b/>
        </w:rPr>
        <w:t>in diesel inoculated with</w:t>
      </w:r>
      <w:r w:rsidR="00F43E2B">
        <w:rPr>
          <w:b/>
        </w:rPr>
        <w:t xml:space="preserve"> </w:t>
      </w:r>
      <w:r w:rsidR="00F43E2B">
        <w:rPr>
          <w:b/>
          <w:i/>
        </w:rPr>
        <w:t xml:space="preserve">P. aeruginosa </w:t>
      </w:r>
      <w:r w:rsidR="00F43E2B">
        <w:rPr>
          <w:b/>
        </w:rPr>
        <w:t xml:space="preserve">(CFU/ml)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520DF8" w:rsidRPr="00725D9B" w:rsidTr="00C776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D9B" w:rsidRPr="00725D9B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low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inoculum +</w:t>
            </w:r>
            <w:r w:rsidRPr="00672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biocide </w:t>
            </w:r>
          </w:p>
          <w:p w:rsidR="00725D9B" w:rsidRPr="00725D9B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1000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  <w:p w:rsidR="00672CD9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F97125" w:rsidRDefault="008C6AB1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</w:t>
            </w:r>
            <w:r w:rsidR="00672CD9"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igh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inoculum</w:t>
            </w:r>
            <w:r w:rsidR="00672CD9"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+ biocide        </w:t>
            </w:r>
          </w:p>
          <w:p w:rsidR="00725D9B" w:rsidRP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1000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low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inoculum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+ 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biocide  </w:t>
            </w:r>
          </w:p>
          <w:p w:rsidR="00725D9B" w:rsidRPr="00725D9B" w:rsidRDefault="00FD50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2</w:t>
            </w:r>
            <w:r w:rsidR="00672CD9"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high 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inoculum</w:t>
            </w:r>
            <w:r w:rsidR="008C6AB1" w:rsidRPr="00672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+  biocide  </w:t>
            </w:r>
          </w:p>
          <w:p w:rsidR="00725D9B" w:rsidRPr="00F97125" w:rsidRDefault="00FD50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2</w:t>
            </w:r>
            <w:r w:rsidR="00672CD9"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inoculum</w:t>
            </w:r>
            <w:r w:rsidR="008C6AB1" w:rsidRPr="00672C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+ 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biocide  </w:t>
            </w:r>
          </w:p>
          <w:p w:rsidR="00725D9B" w:rsidRPr="00725D9B" w:rsidRDefault="00FD50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40</w:t>
            </w:r>
            <w:r w:rsidR="00672CD9"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+  high 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inoculum +</w:t>
            </w:r>
          </w:p>
          <w:p w:rsidR="00F97125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biocide  </w:t>
            </w:r>
          </w:p>
          <w:p w:rsidR="00725D9B" w:rsidRPr="00725D9B" w:rsidRDefault="00FD50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1 in 4</w:t>
            </w:r>
            <w:r w:rsidR="00672CD9" w:rsidRPr="00F9712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  <w:p w:rsidR="00725D9B" w:rsidRPr="00725D9B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low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inoculum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D9" w:rsidRDefault="00725D9B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D9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  <w:p w:rsidR="00725D9B" w:rsidRPr="00725D9B" w:rsidRDefault="00672CD9" w:rsidP="0067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2CD9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en-GB"/>
              </w:rPr>
              <w:t>P. aeruginosa</w:t>
            </w:r>
            <w:r w:rsidRPr="00672C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97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8C6A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inoculum</w:t>
            </w:r>
          </w:p>
        </w:tc>
      </w:tr>
      <w:tr w:rsidR="00DF7DE6" w:rsidRPr="00725D9B" w:rsidTr="00C776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E6" w:rsidRPr="00C7762F" w:rsidRDefault="00C7762F" w:rsidP="0094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Pre-biocide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1.72E+04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2.32E+04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2.31E+04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E6" w:rsidRPr="00DF7DE6" w:rsidRDefault="00DF7D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1.26E+05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1.34E+05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1.22E+05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1.52E+05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2.48E+05</w:t>
            </w:r>
          </w:p>
        </w:tc>
      </w:tr>
      <w:tr w:rsidR="00DF7DE6" w:rsidRPr="00725D9B" w:rsidTr="00C776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E6" w:rsidRPr="00C7762F" w:rsidRDefault="00C7762F" w:rsidP="0094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2.00E+01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3.50E+01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8.00E+01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1.25E+05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9.45E+05</w:t>
            </w:r>
          </w:p>
        </w:tc>
      </w:tr>
      <w:tr w:rsidR="00DF7DE6" w:rsidRPr="00725D9B" w:rsidTr="00C776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E6" w:rsidRPr="00C7762F" w:rsidRDefault="00C7762F" w:rsidP="0094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48 hours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2.30E+05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1.71E+06</w:t>
            </w:r>
          </w:p>
        </w:tc>
      </w:tr>
      <w:tr w:rsidR="00DF7DE6" w:rsidRPr="00725D9B" w:rsidTr="00C776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E6" w:rsidRPr="00C7762F" w:rsidRDefault="0071298F" w:rsidP="0094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144 </w:t>
            </w:r>
            <w:r w:rsidR="00C7762F" w:rsidRPr="00C77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3.05E+06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DE6" w:rsidRPr="00DF7DE6" w:rsidRDefault="00DF7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DE6">
              <w:rPr>
                <w:rFonts w:ascii="Calibri" w:hAnsi="Calibri" w:cs="Calibri"/>
                <w:color w:val="000000"/>
                <w:sz w:val="20"/>
                <w:szCs w:val="20"/>
              </w:rPr>
              <w:t>1.31E+07</w:t>
            </w:r>
          </w:p>
        </w:tc>
      </w:tr>
    </w:tbl>
    <w:p w:rsidR="00725D9B" w:rsidRDefault="00725D9B" w:rsidP="00494293">
      <w:pPr>
        <w:spacing w:after="100"/>
        <w:jc w:val="both"/>
        <w:rPr>
          <w:b/>
        </w:rPr>
      </w:pPr>
    </w:p>
    <w:p w:rsidR="00D10E10" w:rsidRDefault="00D10E10">
      <w:pPr>
        <w:rPr>
          <w:b/>
        </w:rPr>
      </w:pPr>
      <w:r>
        <w:rPr>
          <w:b/>
        </w:rPr>
        <w:br w:type="page"/>
      </w:r>
    </w:p>
    <w:p w:rsidR="00725D9B" w:rsidRDefault="00DF7DE6" w:rsidP="00F43E2B">
      <w:pPr>
        <w:spacing w:after="100"/>
        <w:jc w:val="both"/>
        <w:rPr>
          <w:b/>
        </w:rPr>
      </w:pPr>
      <w:r>
        <w:rPr>
          <w:b/>
        </w:rPr>
        <w:lastRenderedPageBreak/>
        <w:t xml:space="preserve">Chart 1: </w:t>
      </w:r>
      <w:r w:rsidR="00F43E2B">
        <w:rPr>
          <w:b/>
        </w:rPr>
        <w:t xml:space="preserve">The efficacy of Cyrus Eradicate on </w:t>
      </w:r>
      <w:r w:rsidR="00F43E2B">
        <w:rPr>
          <w:b/>
          <w:i/>
        </w:rPr>
        <w:t xml:space="preserve">P. aeruginosa </w:t>
      </w:r>
      <w:r w:rsidR="00F43E2B">
        <w:rPr>
          <w:b/>
        </w:rPr>
        <w:t xml:space="preserve">in diesel (CFU/ml) </w:t>
      </w:r>
    </w:p>
    <w:p w:rsidR="00F43E2B" w:rsidRDefault="00FD285F" w:rsidP="00F43E2B">
      <w:pPr>
        <w:spacing w:after="100"/>
        <w:jc w:val="both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4748530</wp:posOffset>
                </wp:positionV>
                <wp:extent cx="5227955" cy="466090"/>
                <wp:effectExtent l="0" t="0" r="254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2F" w:rsidRPr="00C7762F" w:rsidRDefault="00C7762F" w:rsidP="00C77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7762F">
                              <w:rPr>
                                <w:sz w:val="20"/>
                                <w:szCs w:val="20"/>
                              </w:rPr>
                              <w:t xml:space="preserve">Pre-biocide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1298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7762F">
                              <w:rPr>
                                <w:sz w:val="20"/>
                                <w:szCs w:val="20"/>
                              </w:rPr>
                              <w:t xml:space="preserve">24 </w:t>
                            </w:r>
                            <w:r w:rsidRPr="00C7762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7762F">
                              <w:rPr>
                                <w:sz w:val="20"/>
                                <w:szCs w:val="20"/>
                              </w:rPr>
                              <w:t>48</w:t>
                            </w:r>
                            <w:r w:rsidRPr="00C7762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129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72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7129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96                 </w:t>
                            </w:r>
                            <w:r w:rsidR="007129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120           </w:t>
                            </w:r>
                            <w:r w:rsidR="0071298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144</w:t>
                            </w:r>
                          </w:p>
                          <w:p w:rsidR="00C7762F" w:rsidRPr="00C7762F" w:rsidRDefault="00C7762F" w:rsidP="00C776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62F">
                              <w:rPr>
                                <w:b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9pt;margin-top:373.9pt;width:411.65pt;height:3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GaggIAAA8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" stroked="f">
                <v:textbox style="mso-fit-shape-to-text:t">
                  <w:txbxContent>
                    <w:p w:rsidR="00C7762F" w:rsidRPr="00C7762F" w:rsidRDefault="00C7762F" w:rsidP="00C77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7762F">
                        <w:rPr>
                          <w:sz w:val="20"/>
                          <w:szCs w:val="20"/>
                        </w:rPr>
                        <w:t xml:space="preserve">Pre-biocide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1298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7762F">
                        <w:rPr>
                          <w:sz w:val="20"/>
                          <w:szCs w:val="20"/>
                        </w:rPr>
                        <w:t xml:space="preserve">24 </w:t>
                      </w:r>
                      <w:r w:rsidRPr="00C7762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7762F">
                        <w:rPr>
                          <w:sz w:val="20"/>
                          <w:szCs w:val="20"/>
                        </w:rPr>
                        <w:t>48</w:t>
                      </w:r>
                      <w:r w:rsidRPr="00C7762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7129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72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7129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96                 </w:t>
                      </w:r>
                      <w:r w:rsidR="007129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120           </w:t>
                      </w:r>
                      <w:r w:rsidR="0071298F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144</w:t>
                      </w:r>
                    </w:p>
                    <w:p w:rsidR="00C7762F" w:rsidRPr="00C7762F" w:rsidRDefault="00C7762F" w:rsidP="00C776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62F">
                        <w:rPr>
                          <w:b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791210</wp:posOffset>
                </wp:positionV>
                <wp:extent cx="511175" cy="1785620"/>
                <wp:effectExtent l="5715" t="4445" r="698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785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98F" w:rsidRPr="0071298F" w:rsidRDefault="0071298F">
                            <w:pPr>
                              <w:rPr>
                                <w:b/>
                              </w:rPr>
                            </w:pPr>
                            <w:r w:rsidRPr="0071298F">
                              <w:rPr>
                                <w:b/>
                              </w:rPr>
                              <w:t>CFU/ml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9pt;margin-top:62.3pt;width:40.25pt;height:140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" fillcolor="white [3212]" stroked="f">
                <v:fill opacity="0"/>
                <v:textbox style="layout-flow:vertical;mso-layout-flow-alt:bottom-to-top;mso-fit-shape-to-text:t">
                  <w:txbxContent>
                    <w:p w:rsidR="0071298F" w:rsidRPr="0071298F" w:rsidRDefault="0071298F">
                      <w:pPr>
                        <w:rPr>
                          <w:b/>
                        </w:rPr>
                      </w:pPr>
                      <w:r w:rsidRPr="0071298F">
                        <w:rPr>
                          <w:b/>
                        </w:rPr>
                        <w:t>CFU/ml</w:t>
                      </w:r>
                    </w:p>
                  </w:txbxContent>
                </v:textbox>
              </v:shape>
            </w:pict>
          </mc:Fallback>
        </mc:AlternateContent>
      </w:r>
      <w:r w:rsidR="008E1DD9">
        <w:rPr>
          <w:noProof/>
          <w:lang w:eastAsia="zh-CN"/>
        </w:rPr>
        <w:drawing>
          <wp:inline distT="0" distB="0" distL="0" distR="0">
            <wp:extent cx="5955957" cy="5313405"/>
            <wp:effectExtent l="19050" t="0" r="25743" b="15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B1291B" w:rsidRDefault="00B1291B" w:rsidP="00F43E2B">
      <w:pPr>
        <w:spacing w:after="100"/>
        <w:jc w:val="both"/>
      </w:pPr>
    </w:p>
    <w:p w:rsidR="00F43E2B" w:rsidRDefault="00F43E2B" w:rsidP="00F43E2B">
      <w:pPr>
        <w:spacing w:after="100"/>
        <w:jc w:val="both"/>
      </w:pPr>
      <w:r>
        <w:t>Conclusions and future work:</w:t>
      </w:r>
    </w:p>
    <w:p w:rsidR="00F43E2B" w:rsidRPr="00D10E10" w:rsidRDefault="00F43E2B" w:rsidP="00F43E2B">
      <w:pPr>
        <w:spacing w:after="100"/>
        <w:jc w:val="both"/>
        <w:rPr>
          <w:i/>
        </w:rPr>
      </w:pPr>
      <w:r w:rsidRPr="00D10E10">
        <w:t xml:space="preserve">Cyrus eradicate is active against </w:t>
      </w:r>
      <w:r w:rsidR="00670A5C" w:rsidRPr="00D10E10">
        <w:rPr>
          <w:i/>
        </w:rPr>
        <w:t>P. aeruginosa</w:t>
      </w:r>
      <w:r w:rsidRPr="00D10E10">
        <w:rPr>
          <w:i/>
        </w:rPr>
        <w:t xml:space="preserve"> </w:t>
      </w:r>
      <w:r w:rsidR="00670A5C" w:rsidRPr="00D10E10">
        <w:t>at half the recommended dosage (1 in 4000)</w:t>
      </w:r>
      <w:r w:rsidR="00670A5C" w:rsidRPr="00D10E10">
        <w:rPr>
          <w:i/>
        </w:rPr>
        <w:t>.</w:t>
      </w:r>
    </w:p>
    <w:p w:rsidR="0083297E" w:rsidRDefault="00D10E10" w:rsidP="00F43E2B">
      <w:pPr>
        <w:spacing w:after="100"/>
        <w:jc w:val="both"/>
      </w:pPr>
      <w:r w:rsidRPr="00D10E10">
        <w:t>At high concentrations (1 in 1000) Cyrus Eradicate eliminates all microorganisms from the test flasks within 24 hours.  At lower concentrations (1 in 2000, 1</w:t>
      </w:r>
      <w:r w:rsidR="004C7A13">
        <w:t xml:space="preserve"> </w:t>
      </w:r>
      <w:r w:rsidRPr="00D10E10">
        <w:t xml:space="preserve">in 4000) complete eradication of viable </w:t>
      </w:r>
      <w:r w:rsidRPr="00D10E10">
        <w:rPr>
          <w:i/>
        </w:rPr>
        <w:t xml:space="preserve">P. aeruginosa </w:t>
      </w:r>
      <w:r w:rsidRPr="00D10E10">
        <w:t>was not seen</w:t>
      </w:r>
      <w:r w:rsidR="00984EEE">
        <w:t xml:space="preserve"> until 48 hours later.  </w:t>
      </w:r>
    </w:p>
    <w:p w:rsidR="00911A05" w:rsidRDefault="00F43E2B" w:rsidP="00FE69FA">
      <w:pPr>
        <w:spacing w:after="100"/>
        <w:jc w:val="both"/>
      </w:pPr>
      <w:r w:rsidRPr="00670A5C">
        <w:t>Future work recommended for this project would involve co</w:t>
      </w:r>
      <w:r w:rsidR="00670A5C">
        <w:t>-</w:t>
      </w:r>
      <w:r w:rsidRPr="00670A5C">
        <w:t xml:space="preserve">contamination </w:t>
      </w:r>
      <w:r w:rsidR="00670A5C">
        <w:t xml:space="preserve">of diesel </w:t>
      </w:r>
      <w:r w:rsidRPr="00670A5C">
        <w:t xml:space="preserve">with </w:t>
      </w:r>
      <w:r w:rsidR="00670A5C">
        <w:t>a</w:t>
      </w:r>
      <w:r w:rsidRPr="00670A5C">
        <w:t xml:space="preserve"> consortium of d</w:t>
      </w:r>
      <w:r w:rsidR="00670A5C">
        <w:t>iesel d</w:t>
      </w:r>
      <w:r w:rsidRPr="00670A5C">
        <w:t>egrading organisms</w:t>
      </w:r>
      <w:r w:rsidR="00670A5C">
        <w:t>,</w:t>
      </w:r>
      <w:r w:rsidRPr="00670A5C">
        <w:t xml:space="preserve"> to ensure that the biocide has the ability to remove </w:t>
      </w:r>
      <w:r w:rsidR="00670A5C" w:rsidRPr="00670A5C">
        <w:t>established</w:t>
      </w:r>
      <w:r w:rsidRPr="00670A5C">
        <w:t xml:space="preserve"> contamination </w:t>
      </w:r>
      <w:r w:rsidR="00670A5C">
        <w:t>consisting of a multi-</w:t>
      </w:r>
      <w:r w:rsidR="003B3D79" w:rsidRPr="00670A5C">
        <w:t>species biofilm</w:t>
      </w:r>
      <w:r w:rsidR="00670A5C">
        <w:t xml:space="preserve"> at low concentrations</w:t>
      </w:r>
      <w:r w:rsidR="003B3D79" w:rsidRPr="00670A5C">
        <w:t>.</w:t>
      </w:r>
      <w:r w:rsidR="0083297E">
        <w:t xml:space="preserve">  </w:t>
      </w:r>
      <w:r w:rsidR="00DB6686">
        <w:t>T</w:t>
      </w:r>
      <w:r w:rsidR="006A76EC">
        <w:t>here does not appear to be</w:t>
      </w:r>
      <w:r w:rsidR="00DB6686">
        <w:t xml:space="preserve"> a consensus standard method</w:t>
      </w:r>
      <w:r w:rsidR="006A76EC">
        <w:t xml:space="preserve"> </w:t>
      </w:r>
      <w:r w:rsidR="00DB6686">
        <w:t xml:space="preserve">published for enumerating filamentous </w:t>
      </w:r>
      <w:r w:rsidR="004C7A13">
        <w:t>fungi, which are known to join the</w:t>
      </w:r>
      <w:r w:rsidR="00DB6686">
        <w:t xml:space="preserve"> consortium of organisms which can infect diesel.  Unlike with bacterial species, methods relying on direct counts of colony forming units have been found to be </w:t>
      </w:r>
      <w:r w:rsidR="00DB6686" w:rsidRPr="00450C5B">
        <w:t>unacceptable, as the estimation does not correlate well to the actual contamination present</w:t>
      </w:r>
      <w:r w:rsidR="00450C5B" w:rsidRPr="00450C5B">
        <w:t xml:space="preserve"> (Gaylarde </w:t>
      </w:r>
      <w:r w:rsidR="00450C5B" w:rsidRPr="00450C5B">
        <w:rPr>
          <w:i/>
        </w:rPr>
        <w:t>et al</w:t>
      </w:r>
      <w:r w:rsidR="00450C5B" w:rsidRPr="00450C5B">
        <w:t>., 1999)</w:t>
      </w:r>
      <w:r w:rsidR="00DB6686" w:rsidRPr="00450C5B">
        <w:t>.</w:t>
      </w:r>
      <w:r w:rsidR="00D10E10">
        <w:t xml:space="preserve">  A potential future project the Biofuel Research Centre could undertake would be to develop a new method for enumeratin</w:t>
      </w:r>
      <w:r w:rsidR="004C7A13">
        <w:t>g a multi-species contamination within diesel.</w:t>
      </w:r>
    </w:p>
    <w:p w:rsidR="00984EEE" w:rsidRPr="00984EEE" w:rsidRDefault="00984EEE" w:rsidP="00FE69FA">
      <w:pPr>
        <w:spacing w:after="100"/>
        <w:jc w:val="both"/>
        <w:rPr>
          <w:sz w:val="6"/>
          <w:szCs w:val="6"/>
        </w:rPr>
      </w:pPr>
    </w:p>
    <w:p w:rsidR="00984EEE" w:rsidRPr="004F4567" w:rsidRDefault="006A76EC" w:rsidP="00F43E2B">
      <w:pPr>
        <w:spacing w:after="100"/>
        <w:jc w:val="both"/>
      </w:pPr>
      <w:r w:rsidRPr="004F4567">
        <w:t xml:space="preserve">Gaylarde, C. C., F. M. Bento &amp; J. Kelley (1999) Microbial contamination of stored hydrocarbon fuels and its control. </w:t>
      </w:r>
      <w:r w:rsidRPr="004F4567">
        <w:rPr>
          <w:i/>
        </w:rPr>
        <w:t xml:space="preserve">Revista de Microbiologia </w:t>
      </w:r>
      <w:r w:rsidRPr="004F4567">
        <w:rPr>
          <w:b/>
        </w:rPr>
        <w:t>30</w:t>
      </w:r>
      <w:r w:rsidRPr="004F4567">
        <w:t>:1-10.</w:t>
      </w:r>
    </w:p>
    <w:p w:rsidR="008C6AB1" w:rsidRPr="004F4567" w:rsidRDefault="008C6AB1" w:rsidP="008C6AB1">
      <w:pPr>
        <w:spacing w:after="100"/>
        <w:jc w:val="both"/>
      </w:pPr>
      <w:r w:rsidRPr="004F4567">
        <w:t>Interim Report MIL-S-53021 (1993) Compatibility and efficacy of biocides qualified under military specification MIL-S-53021. Interim Report BFLRF No. 282. S.R. Westbrook, Belvoir Fuels and Lubricants Research Facility (SwRI), Southwest Research Institute, San Antonio, Texas and M.L. Alexander, Southwest Research Institute, San Antonio, Texas.</w:t>
      </w:r>
    </w:p>
    <w:p w:rsidR="008C6AB1" w:rsidRPr="004F4567" w:rsidRDefault="003A78CC" w:rsidP="00F43E2B">
      <w:pPr>
        <w:spacing w:after="100"/>
        <w:jc w:val="both"/>
        <w:rPr>
          <w:i/>
        </w:rPr>
      </w:pPr>
      <w:r w:rsidRPr="004F4567">
        <w:t>Rossmoore, H. W., J. W. Wireman, L. A. Rossmoore &amp; V. F. Riha (198</w:t>
      </w:r>
      <w:r w:rsidR="008E6521" w:rsidRPr="004F4567">
        <w:t>8</w:t>
      </w:r>
      <w:r w:rsidRPr="004F4567">
        <w:t xml:space="preserve">) Factors to consider in testing </w:t>
      </w:r>
      <w:bookmarkStart w:id="1" w:name="OLE_LINK3"/>
      <w:bookmarkStart w:id="2" w:name="OLE_LINK4"/>
      <w:r w:rsidR="008E6521" w:rsidRPr="004F4567">
        <w:t>biocides for distillate fuels.</w:t>
      </w:r>
      <w:r w:rsidRPr="004F4567">
        <w:t xml:space="preserve"> </w:t>
      </w:r>
      <w:r w:rsidRPr="004F4567">
        <w:rPr>
          <w:i/>
        </w:rPr>
        <w:t>Distillate Fuel: Contamination, Storage and Handling</w:t>
      </w:r>
      <w:bookmarkEnd w:id="1"/>
      <w:bookmarkEnd w:id="2"/>
      <w:r w:rsidRPr="004F4567">
        <w:rPr>
          <w:i/>
        </w:rPr>
        <w:t xml:space="preserve">. </w:t>
      </w:r>
      <w:r w:rsidR="008E6521" w:rsidRPr="004F4567">
        <w:rPr>
          <w:i/>
        </w:rPr>
        <w:t xml:space="preserve">ASTM STP 1005, </w:t>
      </w:r>
      <w:r w:rsidR="008E6521" w:rsidRPr="004F4567">
        <w:t>H. L. Chesneau and M. M. Dorris, Eds., American Society for Testing and Materials, Philidelphia, pp</w:t>
      </w:r>
      <w:r w:rsidRPr="004F4567">
        <w:t>.95-104.</w:t>
      </w:r>
      <w:r w:rsidR="000C784C" w:rsidRPr="004F4567">
        <w:rPr>
          <w:i/>
        </w:rPr>
        <w:t xml:space="preserve"> </w:t>
      </w:r>
    </w:p>
    <w:p w:rsidR="008C6AB1" w:rsidRDefault="008C6AB1">
      <w:pPr>
        <w:spacing w:after="100"/>
        <w:jc w:val="both"/>
      </w:pPr>
    </w:p>
    <w:p w:rsidR="00B1291B" w:rsidRPr="004F4567" w:rsidRDefault="00B1291B">
      <w:pPr>
        <w:spacing w:after="100"/>
        <w:jc w:val="both"/>
        <w:rPr>
          <w:b/>
          <w:u w:val="single"/>
        </w:rPr>
      </w:pPr>
      <w:r w:rsidRPr="004F4567">
        <w:rPr>
          <w:b/>
          <w:u w:val="single"/>
        </w:rPr>
        <w:t>Glossary of scientific terms</w:t>
      </w:r>
    </w:p>
    <w:p w:rsidR="00157051" w:rsidRDefault="00157051">
      <w:pPr>
        <w:spacing w:after="100"/>
        <w:jc w:val="both"/>
        <w:rPr>
          <w:b/>
          <w:i/>
        </w:rPr>
      </w:pPr>
    </w:p>
    <w:p w:rsidR="00B1291B" w:rsidRDefault="00B1291B">
      <w:pPr>
        <w:spacing w:after="100"/>
        <w:jc w:val="both"/>
        <w:rPr>
          <w:b/>
        </w:rPr>
      </w:pPr>
      <w:r w:rsidRPr="00B1291B">
        <w:rPr>
          <w:b/>
          <w:i/>
        </w:rPr>
        <w:t>Pseudomonas aeruginosa</w:t>
      </w:r>
      <w:r w:rsidRPr="00B1291B">
        <w:rPr>
          <w:b/>
        </w:rPr>
        <w:t xml:space="preserve"> </w:t>
      </w:r>
    </w:p>
    <w:p w:rsidR="00157051" w:rsidRDefault="00B1291B">
      <w:pPr>
        <w:spacing w:after="100"/>
        <w:jc w:val="both"/>
      </w:pPr>
      <w:r>
        <w:rPr>
          <w:i/>
        </w:rPr>
        <w:t>Pseudomonas aeruginosa</w:t>
      </w:r>
      <w:r>
        <w:t xml:space="preserve"> is a Gram negative aerobic (oxygen utilising) bacteria.  </w:t>
      </w:r>
      <w:r>
        <w:rPr>
          <w:i/>
        </w:rPr>
        <w:t xml:space="preserve">P. aeruginosa </w:t>
      </w:r>
      <w:r>
        <w:t xml:space="preserve">is </w:t>
      </w:r>
      <w:r w:rsidRPr="00B1291B">
        <w:t xml:space="preserve">ubiquitous </w:t>
      </w:r>
      <w:r>
        <w:t xml:space="preserve">in the </w:t>
      </w:r>
      <w:r w:rsidR="00157051">
        <w:t xml:space="preserve">environment; it </w:t>
      </w:r>
      <w:r>
        <w:t xml:space="preserve">is </w:t>
      </w:r>
      <w:r w:rsidR="00157051">
        <w:t xml:space="preserve">an </w:t>
      </w:r>
      <w:r>
        <w:t>extremely metabolically diverse</w:t>
      </w:r>
      <w:r w:rsidR="00157051">
        <w:t xml:space="preserve"> organism which can adapt to live in many different environments</w:t>
      </w:r>
      <w:r w:rsidR="00274D1E">
        <w:t xml:space="preserve"> (ranging from the human body to diesel tanks)</w:t>
      </w:r>
      <w:r w:rsidR="00157051">
        <w:t xml:space="preserve">. </w:t>
      </w:r>
    </w:p>
    <w:p w:rsidR="00157051" w:rsidRDefault="00157051">
      <w:pPr>
        <w:spacing w:after="100"/>
        <w:jc w:val="both"/>
        <w:rPr>
          <w:b/>
        </w:rPr>
      </w:pPr>
    </w:p>
    <w:p w:rsidR="00157051" w:rsidRDefault="00157051">
      <w:pPr>
        <w:spacing w:after="100"/>
        <w:jc w:val="both"/>
        <w:rPr>
          <w:b/>
        </w:rPr>
      </w:pPr>
      <w:r>
        <w:rPr>
          <w:b/>
        </w:rPr>
        <w:t xml:space="preserve">Inoculum </w:t>
      </w:r>
    </w:p>
    <w:p w:rsidR="00B1291B" w:rsidRDefault="00157051">
      <w:pPr>
        <w:spacing w:after="100"/>
        <w:jc w:val="both"/>
      </w:pPr>
      <w:r>
        <w:t>Inoculum is the starting bacterial suspension introduced into the test media.</w:t>
      </w:r>
    </w:p>
    <w:p w:rsidR="00157051" w:rsidRDefault="00157051">
      <w:pPr>
        <w:spacing w:after="100"/>
        <w:jc w:val="both"/>
        <w:rPr>
          <w:b/>
        </w:rPr>
      </w:pPr>
    </w:p>
    <w:p w:rsidR="00B1291B" w:rsidRPr="00157051" w:rsidRDefault="00157051">
      <w:pPr>
        <w:spacing w:after="100"/>
        <w:jc w:val="both"/>
        <w:rPr>
          <w:b/>
          <w:i/>
        </w:rPr>
      </w:pPr>
      <w:r>
        <w:rPr>
          <w:b/>
        </w:rPr>
        <w:t>B</w:t>
      </w:r>
      <w:r w:rsidRPr="00157051">
        <w:rPr>
          <w:b/>
        </w:rPr>
        <w:t>iofilm</w:t>
      </w:r>
    </w:p>
    <w:p w:rsidR="00B1291B" w:rsidRPr="008C6AB1" w:rsidRDefault="00157051">
      <w:pPr>
        <w:spacing w:after="100"/>
        <w:jc w:val="both"/>
      </w:pPr>
      <w:r>
        <w:rPr>
          <w:color w:val="333333"/>
        </w:rPr>
        <w:t>Biofilms are complex</w:t>
      </w:r>
      <w:r>
        <w:t xml:space="preserve"> structures adhering to a surface</w:t>
      </w:r>
      <w:r w:rsidRPr="00157051">
        <w:t xml:space="preserve"> </w:t>
      </w:r>
      <w:r>
        <w:t xml:space="preserve">consisting of colonies of bacteria </w:t>
      </w:r>
      <w:r w:rsidR="00274D1E">
        <w:t>(</w:t>
      </w:r>
      <w:r>
        <w:t xml:space="preserve">and usually </w:t>
      </w:r>
      <w:r>
        <w:rPr>
          <w:color w:val="333333"/>
        </w:rPr>
        <w:t>other</w:t>
      </w:r>
      <w:r>
        <w:t xml:space="preserve"> </w:t>
      </w:r>
      <w:r w:rsidR="004F4567">
        <w:t xml:space="preserve">secondary </w:t>
      </w:r>
      <w:r>
        <w:rPr>
          <w:color w:val="333333"/>
        </w:rPr>
        <w:t>microorganisms</w:t>
      </w:r>
      <w:r>
        <w:t xml:space="preserve"> such as yeasts, fungi, and protozoa</w:t>
      </w:r>
      <w:r w:rsidR="00274D1E">
        <w:t>)</w:t>
      </w:r>
      <w:r>
        <w:t xml:space="preserve"> that </w:t>
      </w:r>
      <w:r>
        <w:rPr>
          <w:color w:val="333333"/>
        </w:rPr>
        <w:t>secrete</w:t>
      </w:r>
      <w:r>
        <w:t xml:space="preserve"> </w:t>
      </w:r>
      <w:r>
        <w:rPr>
          <w:color w:val="333333"/>
        </w:rPr>
        <w:t>a</w:t>
      </w:r>
      <w:r>
        <w:t xml:space="preserve"> </w:t>
      </w:r>
      <w:r>
        <w:rPr>
          <w:color w:val="333333"/>
        </w:rPr>
        <w:t>mucilaginous</w:t>
      </w:r>
      <w:r>
        <w:t xml:space="preserve"> protective coating in which they are encased.</w:t>
      </w:r>
    </w:p>
    <w:sectPr w:rsidR="00B1291B" w:rsidRPr="008C6AB1" w:rsidSect="00984EEE">
      <w:pgSz w:w="11906" w:h="16838"/>
      <w:pgMar w:top="1276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6" w:rsidRDefault="00421B66" w:rsidP="00421B66">
      <w:pPr>
        <w:spacing w:after="0" w:line="240" w:lineRule="auto"/>
      </w:pPr>
      <w:r>
        <w:separator/>
      </w:r>
    </w:p>
  </w:endnote>
  <w:endnote w:type="continuationSeparator" w:id="0">
    <w:p w:rsidR="00421B66" w:rsidRDefault="00421B66" w:rsidP="004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6" w:rsidRDefault="00421B66" w:rsidP="00421B66">
      <w:pPr>
        <w:spacing w:after="0" w:line="240" w:lineRule="auto"/>
      </w:pPr>
      <w:r>
        <w:separator/>
      </w:r>
    </w:p>
  </w:footnote>
  <w:footnote w:type="continuationSeparator" w:id="0">
    <w:p w:rsidR="00421B66" w:rsidRDefault="00421B66" w:rsidP="0042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284"/>
    <w:multiLevelType w:val="hybridMultilevel"/>
    <w:tmpl w:val="8C6EC6D2"/>
    <w:lvl w:ilvl="0" w:tplc="67D01B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5119"/>
    <w:multiLevelType w:val="hybridMultilevel"/>
    <w:tmpl w:val="B9BAB774"/>
    <w:lvl w:ilvl="0" w:tplc="648243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E04FC"/>
    <w:multiLevelType w:val="hybridMultilevel"/>
    <w:tmpl w:val="3E98B3DC"/>
    <w:lvl w:ilvl="0" w:tplc="9390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53E5"/>
    <w:multiLevelType w:val="hybridMultilevel"/>
    <w:tmpl w:val="7AF0CA56"/>
    <w:lvl w:ilvl="0" w:tplc="A8C6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536C"/>
    <w:multiLevelType w:val="hybridMultilevel"/>
    <w:tmpl w:val="601C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060A2"/>
    <w:multiLevelType w:val="hybridMultilevel"/>
    <w:tmpl w:val="E5765C0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543F"/>
    <w:multiLevelType w:val="hybridMultilevel"/>
    <w:tmpl w:val="DE00668C"/>
    <w:lvl w:ilvl="0" w:tplc="E7589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99"/>
    <w:rsid w:val="00011A36"/>
    <w:rsid w:val="00011D86"/>
    <w:rsid w:val="00053E49"/>
    <w:rsid w:val="00060C75"/>
    <w:rsid w:val="000C784C"/>
    <w:rsid w:val="00147D89"/>
    <w:rsid w:val="00157051"/>
    <w:rsid w:val="00274D1E"/>
    <w:rsid w:val="00283599"/>
    <w:rsid w:val="002B2DC3"/>
    <w:rsid w:val="002F7245"/>
    <w:rsid w:val="003026ED"/>
    <w:rsid w:val="00316E4C"/>
    <w:rsid w:val="003A78CC"/>
    <w:rsid w:val="003B3D79"/>
    <w:rsid w:val="00421B66"/>
    <w:rsid w:val="00443AD5"/>
    <w:rsid w:val="00450C5B"/>
    <w:rsid w:val="00494293"/>
    <w:rsid w:val="004C7A13"/>
    <w:rsid w:val="004F3DF8"/>
    <w:rsid w:val="004F4567"/>
    <w:rsid w:val="00520DF8"/>
    <w:rsid w:val="005A77F2"/>
    <w:rsid w:val="005C372F"/>
    <w:rsid w:val="005C502E"/>
    <w:rsid w:val="00627F42"/>
    <w:rsid w:val="00670A5C"/>
    <w:rsid w:val="00672CD9"/>
    <w:rsid w:val="006A76EC"/>
    <w:rsid w:val="006B1CCE"/>
    <w:rsid w:val="006E2C25"/>
    <w:rsid w:val="0071298F"/>
    <w:rsid w:val="00725D9B"/>
    <w:rsid w:val="007A478B"/>
    <w:rsid w:val="007C1E72"/>
    <w:rsid w:val="007C5FDC"/>
    <w:rsid w:val="0083297E"/>
    <w:rsid w:val="008C510F"/>
    <w:rsid w:val="008C6AB1"/>
    <w:rsid w:val="008E1DD9"/>
    <w:rsid w:val="008E6521"/>
    <w:rsid w:val="00911A05"/>
    <w:rsid w:val="00947962"/>
    <w:rsid w:val="00951ED6"/>
    <w:rsid w:val="00980C7B"/>
    <w:rsid w:val="00984EEE"/>
    <w:rsid w:val="009879CC"/>
    <w:rsid w:val="00A260D5"/>
    <w:rsid w:val="00A33D9F"/>
    <w:rsid w:val="00A41B19"/>
    <w:rsid w:val="00A66546"/>
    <w:rsid w:val="00AD6B92"/>
    <w:rsid w:val="00AF4FF7"/>
    <w:rsid w:val="00B1291B"/>
    <w:rsid w:val="00B26E8E"/>
    <w:rsid w:val="00B45008"/>
    <w:rsid w:val="00B72D8B"/>
    <w:rsid w:val="00B7438D"/>
    <w:rsid w:val="00BF64E4"/>
    <w:rsid w:val="00C54EF7"/>
    <w:rsid w:val="00C7762F"/>
    <w:rsid w:val="00CB384E"/>
    <w:rsid w:val="00D10E10"/>
    <w:rsid w:val="00D51083"/>
    <w:rsid w:val="00DB6686"/>
    <w:rsid w:val="00DF7DE6"/>
    <w:rsid w:val="00E61808"/>
    <w:rsid w:val="00ED3217"/>
    <w:rsid w:val="00F20126"/>
    <w:rsid w:val="00F43E2B"/>
    <w:rsid w:val="00F609FD"/>
    <w:rsid w:val="00F97125"/>
    <w:rsid w:val="00FD285F"/>
    <w:rsid w:val="00FD509B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C7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C7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66"/>
  </w:style>
  <w:style w:type="paragraph" w:styleId="Footer">
    <w:name w:val="footer"/>
    <w:basedOn w:val="Normal"/>
    <w:link w:val="FooterChar"/>
    <w:uiPriority w:val="99"/>
    <w:unhideWhenUsed/>
    <w:rsid w:val="0042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66"/>
  </w:style>
  <w:style w:type="table" w:styleId="TableGrid">
    <w:name w:val="Table Grid"/>
    <w:basedOn w:val="TableNormal"/>
    <w:uiPriority w:val="59"/>
    <w:rsid w:val="002F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C7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C7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66"/>
  </w:style>
  <w:style w:type="paragraph" w:styleId="Footer">
    <w:name w:val="footer"/>
    <w:basedOn w:val="Normal"/>
    <w:link w:val="FooterChar"/>
    <w:uiPriority w:val="99"/>
    <w:unhideWhenUsed/>
    <w:rsid w:val="0042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66"/>
  </w:style>
  <w:style w:type="table" w:styleId="TableGrid">
    <w:name w:val="Table Grid"/>
    <w:basedOn w:val="TableNormal"/>
    <w:uiPriority w:val="59"/>
    <w:rsid w:val="002F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ster%20Cyrus\This%20is%20the%20Cyru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97383997231683"/>
          <c:y val="2.3506178536396048E-2"/>
          <c:w val="0.71951562084166909"/>
          <c:h val="0.85993883812441374"/>
        </c:manualLayout>
      </c:layout>
      <c:scatterChart>
        <c:scatterStyle val="lineMarker"/>
        <c:varyColors val="0"/>
        <c:ser>
          <c:idx val="1"/>
          <c:order val="1"/>
          <c:tx>
            <c:v>Biocide 1 in 1000</c:v>
          </c:tx>
          <c:spPr>
            <a:ln w="38100"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7"/>
            <c:spPr>
              <a:solidFill>
                <a:schemeClr val="accent4">
                  <a:lumMod val="75000"/>
                </a:schemeClr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Sheet1!$C$67:$C$70</c:f>
              <c:numCache>
                <c:formatCode>0.00E+00</c:formatCode>
                <c:ptCount val="4"/>
                <c:pt idx="0">
                  <c:v>17149.999999999996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2"/>
          <c:order val="2"/>
          <c:tx>
            <c:v>Biocide 1 in 1000</c:v>
          </c:tx>
          <c:spPr>
            <a:ln w="38100">
              <a:solidFill>
                <a:schemeClr val="accent4">
                  <a:lumMod val="75000"/>
                </a:schemeClr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Sheet1!$D$67:$D$70</c:f>
              <c:numCache>
                <c:formatCode>0.00E+00</c:formatCode>
                <c:ptCount val="4"/>
                <c:pt idx="0">
                  <c:v>23199.999999999996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3"/>
          <c:order val="3"/>
          <c:tx>
            <c:v>Biocide 1 in 2000</c:v>
          </c:tx>
          <c:spPr>
            <a:ln w="381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square"/>
            <c:size val="7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marker>
          <c:dPt>
            <c:idx val="0"/>
            <c:bubble3D val="0"/>
            <c:spPr>
              <a:ln w="28575"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dPt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Sheet1!$E$67:$E$70</c:f>
              <c:numCache>
                <c:formatCode>0.00E+00</c:formatCode>
                <c:ptCount val="4"/>
                <c:pt idx="0">
                  <c:v>23049.999999999996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4"/>
          <c:order val="4"/>
          <c:tx>
            <c:v>Biocide 1 in 2000</c:v>
          </c:tx>
          <c:spPr>
            <a:ln w="381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Sheet1!$F$67:$F$70</c:f>
              <c:numCache>
                <c:formatCode>0.00E+00</c:formatCode>
                <c:ptCount val="4"/>
                <c:pt idx="0">
                  <c:v>126000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5"/>
          <c:order val="5"/>
          <c:tx>
            <c:v>Biocide 1 in 4000</c:v>
          </c:tx>
          <c:spPr>
            <a:ln w="38100">
              <a:solidFill>
                <a:schemeClr val="accent4">
                  <a:lumMod val="20000"/>
                  <a:lumOff val="80000"/>
                </a:schemeClr>
              </a:solidFill>
            </a:ln>
          </c:spPr>
          <c:marker>
            <c:symbol val="square"/>
            <c:size val="7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Sheet1!$G$67:$G$70</c:f>
              <c:numCache>
                <c:formatCode>0.00E+00</c:formatCode>
                <c:ptCount val="4"/>
                <c:pt idx="0">
                  <c:v>133500</c:v>
                </c:pt>
                <c:pt idx="1">
                  <c:v>35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6"/>
          <c:order val="6"/>
          <c:tx>
            <c:v>Biocide 1 in 4000</c:v>
          </c:tx>
          <c:spPr>
            <a:ln w="38100">
              <a:solidFill>
                <a:schemeClr val="accent4">
                  <a:lumMod val="20000"/>
                  <a:lumOff val="8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Sheet1!$H$67:$H$70</c:f>
              <c:numCache>
                <c:formatCode>0.00E+00</c:formatCode>
                <c:ptCount val="4"/>
                <c:pt idx="0">
                  <c:v>121500</c:v>
                </c:pt>
                <c:pt idx="1">
                  <c:v>80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smooth val="0"/>
        </c:ser>
        <c:ser>
          <c:idx val="7"/>
          <c:order val="7"/>
          <c:tx>
            <c:v>No biocide</c:v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squar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Sheet1!$I$67:$I$70</c:f>
              <c:numCache>
                <c:formatCode>0.00E+00</c:formatCode>
                <c:ptCount val="4"/>
                <c:pt idx="0">
                  <c:v>151500</c:v>
                </c:pt>
                <c:pt idx="1">
                  <c:v>124500</c:v>
                </c:pt>
                <c:pt idx="2">
                  <c:v>229500</c:v>
                </c:pt>
                <c:pt idx="3">
                  <c:v>3045000</c:v>
                </c:pt>
              </c:numCache>
            </c:numRef>
          </c:yVal>
          <c:smooth val="0"/>
        </c:ser>
        <c:ser>
          <c:idx val="0"/>
          <c:order val="0"/>
          <c:tx>
            <c:v>No biocide</c:v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triangle"/>
            <c:size val="7"/>
            <c:spPr>
              <a:ln w="9525">
                <a:solidFill>
                  <a:schemeClr val="tx1"/>
                </a:solidFill>
              </a:ln>
            </c:spPr>
          </c:marker>
          <c:xVal>
            <c:numRef>
              <c:f>Sheet1!$A$67:$A$70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</c:numCache>
            </c:numRef>
          </c:xVal>
          <c:yVal>
            <c:numRef>
              <c:f>Sheet1!$J$67:$J$70</c:f>
              <c:numCache>
                <c:formatCode>0.00E+00</c:formatCode>
                <c:ptCount val="4"/>
                <c:pt idx="0">
                  <c:v>247500</c:v>
                </c:pt>
                <c:pt idx="1">
                  <c:v>945000</c:v>
                </c:pt>
                <c:pt idx="2">
                  <c:v>1705000</c:v>
                </c:pt>
                <c:pt idx="3">
                  <c:v>13099999.999999996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521728"/>
        <c:axId val="145301504"/>
      </c:scatterChart>
      <c:valAx>
        <c:axId val="108521728"/>
        <c:scaling>
          <c:orientation val="minMax"/>
          <c:max val="7"/>
          <c:min val="1"/>
        </c:scaling>
        <c:delete val="0"/>
        <c:axPos val="b"/>
        <c:numFmt formatCode="&quot;Day &quot;#" sourceLinked="0"/>
        <c:majorTickMark val="out"/>
        <c:minorTickMark val="none"/>
        <c:tickLblPos val="nextTo"/>
        <c:crossAx val="145301504"/>
        <c:crosses val="autoZero"/>
        <c:crossBetween val="midCat"/>
        <c:majorUnit val="1"/>
      </c:valAx>
      <c:valAx>
        <c:axId val="145301504"/>
        <c:scaling>
          <c:logBase val="10"/>
          <c:orientation val="minMax"/>
        </c:scaling>
        <c:delete val="0"/>
        <c:axPos val="l"/>
        <c:majorGridlines/>
        <c:numFmt formatCode="0.00E+00" sourceLinked="1"/>
        <c:majorTickMark val="out"/>
        <c:minorTickMark val="in"/>
        <c:tickLblPos val="nextTo"/>
        <c:crossAx val="1085217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794054423159887"/>
          <c:y val="0.36537070549938894"/>
          <c:w val="0.21205944256434844"/>
          <c:h val="0.34579492550881846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Cyrus Eradicate</vt:lpstr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Cyrus Eradicate</dc:title>
  <dc:subject>Product Analysis Report</dc:subject>
  <dc:creator>Dr Eve Bird</dc:creator>
  <cp:lastModifiedBy>lf299</cp:lastModifiedBy>
  <cp:revision>2</cp:revision>
  <cp:lastPrinted>2012-03-13T11:14:00Z</cp:lastPrinted>
  <dcterms:created xsi:type="dcterms:W3CDTF">2012-11-06T15:25:00Z</dcterms:created>
  <dcterms:modified xsi:type="dcterms:W3CDTF">2012-11-06T15:25:00Z</dcterms:modified>
</cp:coreProperties>
</file>